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jc w:val="right"/>
        <w:rPr>
          <w:rFonts w:ascii="Corbel" w:cs="Corbel" w:eastAsia="Corbel" w:hAnsi="Corbel"/>
          <w:i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  </w:t>
        <w:tab/>
        <w:tab/>
        <w:tab/>
        <w:tab/>
        <w:tab/>
      </w:r>
      <w:r w:rsidDel="00000000" w:rsidR="00000000" w:rsidRPr="00000000">
        <w:rPr>
          <w:rFonts w:ascii="Corbel" w:cs="Corbel" w:eastAsia="Corbel" w:hAnsi="Corbel"/>
          <w:b w:val="1"/>
          <w:rtl w:val="0"/>
        </w:rPr>
        <w:tab/>
      </w:r>
      <w:r w:rsidDel="00000000" w:rsidR="00000000" w:rsidRPr="00000000">
        <w:rPr>
          <w:rFonts w:ascii="Corbel" w:cs="Corbel" w:eastAsia="Corbel" w:hAnsi="Corbel"/>
          <w:i w:val="1"/>
          <w:rtl w:val="0"/>
        </w:rPr>
        <w:t xml:space="preserve">Załącznik nr 1.5 do Zarządzenia Rektora UR  nr 7/2023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mallCaps w:val="1"/>
          <w:sz w:val="24"/>
          <w:szCs w:val="24"/>
          <w:rtl w:val="0"/>
        </w:rPr>
        <w:t xml:space="preserve">SYLABUS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mallCaps w:val="1"/>
          <w:sz w:val="24"/>
          <w:szCs w:val="24"/>
          <w:rtl w:val="0"/>
        </w:rPr>
        <w:t xml:space="preserve">dotyczy cyklu kształcenia od roku </w:t>
      </w:r>
      <w:r w:rsidDel="00000000" w:rsidR="00000000" w:rsidRPr="00000000">
        <w:rPr>
          <w:rFonts w:ascii="Corbel" w:cs="Corbel" w:eastAsia="Corbel" w:hAnsi="Corbel"/>
          <w:i w:val="1"/>
          <w:smallCaps w:val="1"/>
          <w:sz w:val="24"/>
          <w:szCs w:val="24"/>
          <w:rtl w:val="0"/>
        </w:rPr>
        <w:t xml:space="preserve">2025/2026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both"/>
        <w:rPr>
          <w:rFonts w:ascii="Corbel" w:cs="Corbel" w:eastAsia="Corbel" w:hAnsi="Corbel"/>
          <w:sz w:val="20"/>
          <w:szCs w:val="20"/>
        </w:rPr>
      </w:pPr>
      <w:r w:rsidDel="00000000" w:rsidR="00000000" w:rsidRPr="00000000">
        <w:rPr>
          <w:rFonts w:ascii="Corbel" w:cs="Corbel" w:eastAsia="Corbel" w:hAnsi="Corbel"/>
          <w:i w:val="1"/>
          <w:sz w:val="24"/>
          <w:szCs w:val="24"/>
          <w:rtl w:val="0"/>
        </w:rPr>
        <w:t xml:space="preserve">               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both"/>
        <w:rPr>
          <w:rFonts w:ascii="Corbel" w:cs="Corbel" w:eastAsia="Corbel" w:hAnsi="Corbel"/>
          <w:sz w:val="20"/>
          <w:szCs w:val="20"/>
        </w:rPr>
      </w:pPr>
      <w:r w:rsidDel="00000000" w:rsidR="00000000" w:rsidRPr="00000000">
        <w:rPr>
          <w:rFonts w:ascii="Corbel" w:cs="Corbel" w:eastAsia="Corbel" w:hAnsi="Corbel"/>
          <w:sz w:val="20"/>
          <w:szCs w:val="20"/>
          <w:rtl w:val="0"/>
        </w:rPr>
        <w:tab/>
        <w:tab/>
        <w:tab/>
        <w:tab/>
        <w:t xml:space="preserve">Rok akademicki   2025/2026</w:t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70c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Podstawowe informacje o przedmiocie</w:t>
      </w:r>
      <w:r w:rsidDel="00000000" w:rsidR="00000000" w:rsidRPr="00000000">
        <w:rPr>
          <w:rtl w:val="0"/>
        </w:rPr>
      </w:r>
    </w:p>
    <w:tbl>
      <w:tblPr>
        <w:tblStyle w:val="Table1"/>
        <w:tblW w:w="9781.0" w:type="dxa"/>
        <w:jc w:val="left"/>
        <w:tblInd w:w="-3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94"/>
        <w:gridCol w:w="7087"/>
        <w:tblGridChange w:id="0">
          <w:tblGrid>
            <w:gridCol w:w="2694"/>
            <w:gridCol w:w="7087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przedmiotu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Postprodukcja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 przedmiotu*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DPS7/JII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jednostki prowadzącej kierunek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Wydział Muzyki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jednostki realizującej przedmiot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Wydział Muzyki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Kierunek studiów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Jazz i muzyka rozrywkowa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Poziom studiów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II stopień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Profil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praktyczny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studiów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stacjonarne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Rok i semestr/y studiów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II rok – semestr 4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Rodzaj przedmiotu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obieralny / specjalnościowy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Język wykładowy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polski / angielski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Koordynator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mgr Rafał Czarnacki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Imię i nazwisko osoby prowadzącej / osób prowadzących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mgr Marek Miller</w:t>
            </w: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 /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mgr Rafał Czarnacki</w:t>
            </w:r>
          </w:p>
        </w:tc>
      </w:tr>
    </w:tbl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280" w:before="28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 </w:t>
      </w:r>
      <w:r w:rsidDel="00000000" w:rsidR="00000000" w:rsidRPr="00000000">
        <w:rPr>
          <w:rFonts w:ascii="Corbel" w:cs="Corbel" w:eastAsia="Corbel" w:hAnsi="Corbel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opcjonalni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e,</w:t>
      </w:r>
      <w:r w:rsidDel="00000000" w:rsidR="00000000" w:rsidRPr="00000000">
        <w:rPr>
          <w:rFonts w:ascii="Corbel" w:cs="Corbel" w:eastAsia="Corbel" w:hAnsi="Corbel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zgodnie z ustaleniami w Jednostce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284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1.1.Formy zajęć dydaktycznych, wymiar godzin i punktów ECTS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2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  <w:tblGridChange w:id="0">
          <w:tblGrid>
            <w:gridCol w:w="1049"/>
            <w:gridCol w:w="913"/>
            <w:gridCol w:w="788"/>
            <w:gridCol w:w="851"/>
            <w:gridCol w:w="801"/>
            <w:gridCol w:w="821"/>
            <w:gridCol w:w="763"/>
            <w:gridCol w:w="948"/>
            <w:gridCol w:w="1189"/>
            <w:gridCol w:w="150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Semestr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(nr)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Wykł.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Konw.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Lab.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Prakt.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Inne (jakie?)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Liczba pkt. ECTS</w:t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IV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</w:tr>
    </w:tbl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284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1.2.</w:t>
        <w:tab/>
        <w:t xml:space="preserve">Sposób realizacji zajęć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sdt>
        <w:sdtPr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1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zajęcia w formie tradycyjnej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sdt>
        <w:sdtPr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1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zajęcia realizowane z wykorzystaniem metod i technik kształcenia na odległość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709" w:right="0" w:hanging="425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1.3 </w:t>
        <w:tab/>
        <w:t xml:space="preserve">Forma zaliczenia przedmiotu (z toku) 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(egzamin, zaliczenie z oceną, zaliczenie bez oceny)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zaliczenie z oceną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2.Wymagania wstępne </w:t>
      </w:r>
    </w:p>
    <w:tbl>
      <w:tblPr>
        <w:tblStyle w:val="Table3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520"/>
        <w:tblGridChange w:id="0">
          <w:tblGrid>
            <w:gridCol w:w="95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Podstawowa umiejętność obsługi programów Digital Audio Workstation (DAW), wiedza z zakresu produkcji muzycznej, podstaw rejestracji i edycji dźwięku.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cele, efekty uczenia się , treści Programowe i stosowane metody Dydaktyczne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3.1 Cele przedmiotu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43"/>
        <w:gridCol w:w="8677"/>
        <w:tblGridChange w:id="0">
          <w:tblGrid>
            <w:gridCol w:w="843"/>
            <w:gridCol w:w="8677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C1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Zdobycie wiedzy z zakresu podstaw miksu studyjnego oraz masteringu.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  <w:tab w:val="left" w:leader="none" w:pos="720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Rozwijanie wiedzy o higienie pracy z dźwiękiem i podstawowych zakresach referencyjnych dla utworów.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Umiejętność dostosowania nagrań i produkcji muzycznych do standardów serwisów streamingowych.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Umiejętność wykonania podstawowych czynności związanych z miksem i masteringiem.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Umiejętność rozwiązywania problemów związanych z edycją i obróbką nagrań dźwiękowych o słabej jakości realizacji lub wymagających wprowadzenia odpowiedniego „processingu” (przetworzenia) w celu polepszenia ich jakości i finalnego efektu. </w:t>
            </w:r>
          </w:p>
        </w:tc>
      </w:tr>
    </w:tbl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0" w:line="240" w:lineRule="auto"/>
        <w:ind w:left="426" w:firstLine="0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0" w:line="240" w:lineRule="auto"/>
        <w:ind w:left="426" w:firstLine="0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z w:val="24"/>
          <w:szCs w:val="24"/>
          <w:rtl w:val="0"/>
        </w:rPr>
        <w:t xml:space="preserve">3.2 Efekty uczenia się dla przedmiotu</w:t>
      </w:r>
      <w:r w:rsidDel="00000000" w:rsidR="00000000" w:rsidRPr="00000000">
        <w:rPr>
          <w:rFonts w:ascii="Corbel" w:cs="Corbel" w:eastAsia="Corbel" w:hAnsi="Corbel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5A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81"/>
        <w:gridCol w:w="5974"/>
        <w:gridCol w:w="1865"/>
        <w:tblGridChange w:id="0">
          <w:tblGrid>
            <w:gridCol w:w="1681"/>
            <w:gridCol w:w="5974"/>
            <w:gridCol w:w="1865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(efekt uczenia się)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Treść efektu uczenia się zdefiniowanego dla przedmiotu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Odniesienie do efektów  kierunkowych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EK_01</w:t>
            </w:r>
          </w:p>
        </w:tc>
        <w:tc>
          <w:tcPr/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Student zna współczesne standardy wykonawcze i twórcze, potrafi odpowiednio dobrać narzędzia cyfrowej obróbki dźwięku do stylistyki utworu i obowiązujących norm dźwiękowych występujących we współczesnej muzyce. </w:t>
            </w:r>
          </w:p>
        </w:tc>
        <w:tc>
          <w:tcPr/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K_W02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K_W04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EK_02</w:t>
            </w:r>
          </w:p>
        </w:tc>
        <w:tc>
          <w:tcPr/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Student posiada wiedzę umożliwiającą dostosowanie nagrania dźwiękowego do odpowiednich zakresów referencyjnych.</w:t>
            </w:r>
          </w:p>
        </w:tc>
        <w:tc>
          <w:tcPr/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EK_03</w:t>
            </w:r>
          </w:p>
        </w:tc>
        <w:tc>
          <w:tcPr/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Student rozumie problematykę związaną z podstawami miksu i masteringu nagrań dźwiękowych, edycji i rejestracji dźwięku.</w:t>
            </w:r>
          </w:p>
        </w:tc>
        <w:tc>
          <w:tcPr/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EK_04</w:t>
            </w:r>
          </w:p>
        </w:tc>
        <w:tc>
          <w:tcPr/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Student potrafi zaplanować poszczególne etapy pracy nad miksem i masteringiem oraz przetwarzaniem dźwięku w kontekście pojęcia postprodukcji jako kreatywnej formy wyrazu artystycznego.</w:t>
            </w:r>
          </w:p>
        </w:tc>
        <w:tc>
          <w:tcPr/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K_U01</w:t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K_U06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3.3 Treści programowe 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Problematyka wykładu 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520"/>
        <w:tblGridChange w:id="0">
          <w:tblGrid>
            <w:gridCol w:w="95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Treści merytoryczne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4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Problematyka ćwiczeń, konwersatoriów, laboratoriów, zajęć praktycznych 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520"/>
        <w:tblGridChange w:id="0">
          <w:tblGrid>
            <w:gridCol w:w="95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hanging="708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Treści merytoryczne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podstawowe zagadnienia związane z miksem i masteringiem,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miks i mastering w kontekście produkcji muzycznej,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wykorzystywanie narzędzi cyfrowych w postprodukcji,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instalacja narzędzi typu plug-in na instancjach programu Digital Audio Workstation (DAW),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wiedza z zakresu typów narzędzi wykorzystywanych w postprodukcji – korekcja, kompresja,        korekcja i kompresja wielopasmowa, saturacja, limiting, clipping,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obsługa narzędzi edycyjnych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automatyka i programowanie funkcji narzędzi typu plug-in,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problematyka zagadnień: Loudness Units relative to Full Scale (LUFS), poziom szczytowy (peak), rzeczywisty maksymalny poziom sygnału audio (true peak), Root Mean Square (RMS),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standardy referencyjne w streamingu.</w:t>
            </w:r>
          </w:p>
        </w:tc>
      </w:tr>
    </w:tbl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3.4 Metody dydaktyczne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Np</w:t>
      </w: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.: 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Wykład: wykład problemowy, wykład z prezentacją multimedialną, metody kształcenia na odległość 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Laboratorium: wykonywanie doświadczeń, projektowanie doświadczeń 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Ćwiczenia, projekt praktyczny, analiza nagrań z dyskusją, rozwiązywanie problemów związanych z przetwarzaniem dźwięku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METODY I KRYTERIA OCENY 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4.1 Sposoby weryfikacji efektów uczenia się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62"/>
        <w:gridCol w:w="5441"/>
        <w:gridCol w:w="2117"/>
        <w:tblGridChange w:id="0">
          <w:tblGrid>
            <w:gridCol w:w="1962"/>
            <w:gridCol w:w="5441"/>
            <w:gridCol w:w="2117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Symbol efektu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Metody oceny efektów uczenia się</w:t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(np.: kolokwium, egzamin ustny, egzamin pisemny, projekt, sprawozdanie, obserwacja w trakcie zajęć)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zajęć dydaktycznych </w:t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(w, ćw, …)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01 </w:t>
            </w:r>
          </w:p>
        </w:tc>
        <w:tc>
          <w:tcPr/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 / kolokwium</w:t>
            </w:r>
          </w:p>
        </w:tc>
        <w:tc>
          <w:tcPr/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02</w:t>
            </w:r>
          </w:p>
        </w:tc>
        <w:tc>
          <w:tcPr/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Kolokwium</w:t>
            </w:r>
          </w:p>
        </w:tc>
        <w:tc>
          <w:tcPr/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Ek_03</w:t>
            </w:r>
          </w:p>
        </w:tc>
        <w:tc>
          <w:tcPr/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 / Projekt</w:t>
            </w:r>
          </w:p>
        </w:tc>
        <w:tc>
          <w:tcPr/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Ek_04</w:t>
            </w:r>
          </w:p>
        </w:tc>
        <w:tc>
          <w:tcPr/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 / Projekt</w:t>
            </w:r>
          </w:p>
        </w:tc>
        <w:tc>
          <w:tcPr/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</w:tbl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4.2 Warunki zaliczenia przedmiotu (kryteria oceniania) 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520"/>
        <w:tblGridChange w:id="0">
          <w:tblGrid>
            <w:gridCol w:w="95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71" w:right="0" w:hanging="36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30 % - obecność na zajęciach (wymagana frekwencja: min. 80 %)</w:t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71" w:right="0" w:hanging="36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30 % - kolokwium w trakcie semestru</w:t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71" w:right="0" w:hanging="36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30 % - projekty wykonywane w trakcie semestru</w:t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71" w:right="0" w:hanging="36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10 % - ocena ciągła z uwzględnieniem samodzielnie przeprowadzanych zadań / aktywność na zajęciach</w:t>
            </w:r>
          </w:p>
          <w:p w:rsidR="00000000" w:rsidDel="00000000" w:rsidP="00000000" w:rsidRDefault="00000000" w:rsidRPr="00000000" w14:paraId="000000AB">
            <w:pPr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Warunkiem zaliczenia przedmiotu jest pozytywna ocena z kolokwium, zrealizowane wszystkie zadane projekty, min. 80 % frekwencja na zajęciach oraz aktywne uczestnictwo w zajęciach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both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CAŁKOWITY NAKŁAD PRACY STUDENTA POTRZEBNY DO OSIĄGNIĘCIA ZAŁOŻONYCH EFEKTÓW W GODZINACH ORAZ PUNKTACH ECTS 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902"/>
        <w:gridCol w:w="4618"/>
        <w:tblGridChange w:id="0">
          <w:tblGrid>
            <w:gridCol w:w="4902"/>
            <w:gridCol w:w="4618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aktywności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Średnia liczba godzin na zrealizowanie aktywności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Godziny z harmonogramu studiów</w:t>
            </w:r>
          </w:p>
        </w:tc>
        <w:tc>
          <w:tcPr/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Inne z udziałem nauczyciela akademickiego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(udział w konsultacjach, egzaminie)</w:t>
            </w:r>
          </w:p>
        </w:tc>
        <w:tc>
          <w:tcPr/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Godziny niekontaktowe – praca własna studenta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(przygotowanie do zajęć, egzaminu, napisanie referatu itp.)</w:t>
            </w:r>
          </w:p>
        </w:tc>
        <w:tc>
          <w:tcPr/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SUMA GODZIN</w:t>
            </w:r>
          </w:p>
        </w:tc>
        <w:tc>
          <w:tcPr/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SUMARYCZNA LICZBA PUNKTÓW ECTS</w:t>
            </w:r>
          </w:p>
        </w:tc>
        <w:tc>
          <w:tcPr/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</w:tr>
    </w:tbl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 Należy uwzględnić, że 1 pkt ECTS odpowiada 25-30 godzin całkowitego nakładu pracy studenta.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PRAKTYKI ZAWODOWE W RAMACH PRZEDMIOTU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7513.0" w:type="dxa"/>
        <w:jc w:val="left"/>
        <w:tblInd w:w="67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544"/>
        <w:gridCol w:w="3969"/>
        <w:tblGridChange w:id="0">
          <w:tblGrid>
            <w:gridCol w:w="3544"/>
            <w:gridCol w:w="3969"/>
          </w:tblGrid>
        </w:tblGridChange>
      </w:tblGrid>
      <w:tr>
        <w:trPr>
          <w:cantSplit w:val="0"/>
          <w:trHeight w:val="397" w:hRule="atLeast"/>
          <w:tblHeader w:val="0"/>
        </w:trPr>
        <w:tc>
          <w:tcPr/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wymiar godzinowy</w:t>
            </w:r>
          </w:p>
        </w:tc>
        <w:tc>
          <w:tcPr/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</w:tr>
      <w:tr>
        <w:trPr>
          <w:cantSplit w:val="0"/>
          <w:trHeight w:val="397" w:hRule="atLeast"/>
          <w:tblHeader w:val="0"/>
        </w:trPr>
        <w:tc>
          <w:tcPr/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zasady i formy odbywania praktyk </w:t>
            </w:r>
          </w:p>
        </w:tc>
        <w:tc>
          <w:tcPr/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</w:tr>
    </w:tbl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7. LITERATURA 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7513.0" w:type="dxa"/>
        <w:jc w:val="left"/>
        <w:tblInd w:w="67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513"/>
        <w:tblGridChange w:id="0">
          <w:tblGrid>
            <w:gridCol w:w="7513"/>
          </w:tblGrid>
        </w:tblGridChange>
      </w:tblGrid>
      <w:tr>
        <w:trPr>
          <w:cantSplit w:val="0"/>
          <w:trHeight w:val="397" w:hRule="atLeast"/>
          <w:tblHeader w:val="0"/>
        </w:trPr>
        <w:tc>
          <w:tcPr/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Literatura podstawowa:</w:t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Bobby Owsinski –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The Mastering Engineer’s Handbook 4th edition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wyd. Bobby Owsinski Media Group, 2016</w:t>
            </w:r>
          </w:p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Bobby Owsinski –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The Mixing Engineer’s Handbook 4th edition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wyd. Bobby Owsinski Media Group, 2017</w:t>
            </w:r>
          </w:p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Roey Izhaki –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Mixing Audio – Concepts, practices, tools (third edition)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wyd. Routledge, 2018</w:t>
            </w:r>
          </w:p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/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Literatura uzupełniająca: </w:t>
            </w:r>
          </w:p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orbel" w:cs="Corbel" w:eastAsia="Corbel" w:hAnsi="Corbe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M. Przedpełska-Bieniek –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Sztuka dźwięku – technika i realizacja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wyd. Wojciech Marzec, 2017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Bobby Owsinski –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The recording engineer’s handbook Second Edition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wyd. Course Technology PTR, 2009</w:t>
            </w:r>
          </w:p>
        </w:tc>
      </w:tr>
    </w:tbl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Akceptacja Kierownika Jednostki lub osoby upoważnionej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Arial Unicode MS"/>
  <w:font w:name="Courier New"/>
  <w:font w:name="Corbel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Quattrocento Sans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Noto Sans Symbols">
    <w:embedRegular w:fontKey="{00000000-0000-0000-0000-000000000000}" r:id="rId9" w:subsetted="0"/>
    <w:embedBold w:fontKey="{00000000-0000-0000-0000-000000000000}" r:id="rId10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after="0" w:line="240" w:lineRule="auto"/>
      <w:jc w:val="center"/>
    </w:pPr>
    <w:rPr>
      <w:rFonts w:ascii="Times New Roman" w:cs="Times New Roman" w:eastAsia="Times New Roman" w:hAnsi="Times New Roman"/>
      <w:b w:val="1"/>
      <w:sz w:val="24"/>
      <w:szCs w:val="24"/>
    </w:rPr>
  </w:style>
  <w:style w:type="paragraph" w:styleId="Normalny" w:default="1">
    <w:name w:val="Normal"/>
    <w:qFormat w:val="1"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Akapitzlist">
    <w:name w:val="List Paragraph"/>
    <w:basedOn w:val="Normalny"/>
    <w:uiPriority w:val="34"/>
    <w:qFormat w:val="1"/>
    <w:rsid w:val="00BD66E9"/>
    <w:pPr>
      <w:ind w:left="720"/>
      <w:contextualSpacing w:val="1"/>
    </w:pPr>
  </w:style>
  <w:style w:type="paragraph" w:styleId="Tytu">
    <w:name w:val="Title"/>
    <w:basedOn w:val="Normalny"/>
    <w:link w:val="TytuZnak"/>
    <w:qFormat w:val="1"/>
    <w:rsid w:val="00BD66E9"/>
    <w:pPr>
      <w:spacing w:after="0" w:line="240" w:lineRule="auto"/>
      <w:jc w:val="center"/>
    </w:pPr>
    <w:rPr>
      <w:rFonts w:ascii="Times New Roman" w:eastAsia="Times New Roman" w:hAnsi="Times New Roman"/>
      <w:b w:val="1"/>
      <w:bCs w:val="1"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 w:val="1"/>
      <w:bCs w:val="1"/>
      <w:lang w:eastAsia="pl-PL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CF78ED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 w:val="1"/>
    <w:rsid w:val="00CF78ED"/>
    <w:rPr>
      <w:rFonts w:ascii="Tahoma" w:cs="Tahoma" w:eastAsia="Calibri" w:hAnsi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 w:val="1"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 w:val="1"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 w:val="1"/>
    <w:unhideWhenUsed w:val="1"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 w:val="1"/>
    <w:rsid w:val="0085747A"/>
    <w:rPr>
      <w:rFonts w:ascii="Calibri" w:cs="Times New Roman" w:hAnsi="Calibri"/>
      <w:sz w:val="20"/>
      <w:szCs w:val="20"/>
    </w:rPr>
  </w:style>
  <w:style w:type="character" w:styleId="Odwoanieprzypisudolnego">
    <w:name w:val="footnote reference"/>
    <w:uiPriority w:val="99"/>
    <w:semiHidden w:val="1"/>
    <w:unhideWhenUsed w:val="1"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unktygwne" w:customStyle="1">
    <w:name w:val="Punkty główne"/>
    <w:basedOn w:val="Normalny"/>
    <w:rsid w:val="0085747A"/>
    <w:pPr>
      <w:spacing w:after="60" w:before="240" w:line="240" w:lineRule="auto"/>
    </w:pPr>
    <w:rPr>
      <w:rFonts w:ascii="Times New Roman" w:hAnsi="Times New Roman"/>
      <w:b w:val="1"/>
      <w:smallCaps w:val="1"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after="40" w:before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after="40" w:before="40" w:line="240" w:lineRule="auto"/>
    </w:pPr>
    <w:rPr>
      <w:rFonts w:ascii="Times New Roman" w:hAnsi="Times New Roman"/>
      <w:b w:val="1"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 w:val="1"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after="0" w:before="12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40" w:before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 w:val="1"/>
    <w:unhideWhenUsed w:val="1"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 w:val="1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 w:val="1"/>
    <w:rsid w:val="0085747A"/>
  </w:style>
  <w:style w:type="character" w:styleId="Hipercze">
    <w:name w:val="Hyperlink"/>
    <w:uiPriority w:val="99"/>
    <w:unhideWhenUsed w:val="1"/>
    <w:rsid w:val="00B819C8"/>
    <w:rPr>
      <w:color w:val="0000ff"/>
      <w:u w:val="single"/>
    </w:rPr>
  </w:style>
  <w:style w:type="paragraph" w:styleId="Bezodstpw">
    <w:name w:val="No Spacing"/>
    <w:uiPriority w:val="1"/>
    <w:qFormat w:val="1"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 w:val="1"/>
    <w:unhideWhenUsed w:val="1"/>
    <w:rsid w:val="00E02612"/>
    <w:pPr>
      <w:spacing w:after="0" w:line="240" w:lineRule="auto"/>
    </w:pPr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 w:val="1"/>
    <w:rsid w:val="00E02612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 w:val="1"/>
    <w:unhideWhenUsed w:val="1"/>
    <w:rsid w:val="00E02612"/>
    <w:rPr>
      <w:vertAlign w:val="superscript"/>
    </w:rPr>
  </w:style>
  <w:style w:type="paragraph" w:styleId="NormalnyWeb">
    <w:name w:val="Normal (Web)"/>
    <w:basedOn w:val="Normalny"/>
    <w:uiPriority w:val="99"/>
    <w:unhideWhenUsed w:val="1"/>
    <w:rsid w:val="00A71CB4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bel-regular.ttf"/><Relationship Id="rId2" Type="http://schemas.openxmlformats.org/officeDocument/2006/relationships/font" Target="fonts/Corbel-bold.ttf"/><Relationship Id="rId3" Type="http://schemas.openxmlformats.org/officeDocument/2006/relationships/font" Target="fonts/Corbel-italic.ttf"/><Relationship Id="rId4" Type="http://schemas.openxmlformats.org/officeDocument/2006/relationships/font" Target="fonts/Corbel-boldItalic.ttf"/><Relationship Id="rId10" Type="http://schemas.openxmlformats.org/officeDocument/2006/relationships/font" Target="fonts/NotoSansSymbols-bold.ttf"/><Relationship Id="rId9" Type="http://schemas.openxmlformats.org/officeDocument/2006/relationships/font" Target="fonts/NotoSansSymbols-regular.ttf"/><Relationship Id="rId5" Type="http://schemas.openxmlformats.org/officeDocument/2006/relationships/font" Target="fonts/QuattrocentoSans-regular.ttf"/><Relationship Id="rId6" Type="http://schemas.openxmlformats.org/officeDocument/2006/relationships/font" Target="fonts/QuattrocentoSans-bold.ttf"/><Relationship Id="rId7" Type="http://schemas.openxmlformats.org/officeDocument/2006/relationships/font" Target="fonts/QuattrocentoSans-italic.ttf"/><Relationship Id="rId8" Type="http://schemas.openxmlformats.org/officeDocument/2006/relationships/font" Target="fonts/QuattrocentoSans-boldItalic.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3r7FH4Z1qab3kPFnfMyZBwoWsQ==">CgMxLjAaMAoBMBIrCikIB0IlChFRdWF0dHJvY2VudG8gU2FucxIQQXJpYWwgVW5pY29kZSBNUxowCgExEisKKQgHQiUKEVF1YXR0cm9jZW50byBTYW5zEhBBcmlhbCBVbmljb2RlIE1TOAByITFVemJhelNtMTBiWFFGeUZ0eVhEdkVudjhJYTFHaXNydw==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2025-03-24T20:12:00Z</dcterms:created>
  <dc:creator>User</dc:creator>
</cp:coreProperties>
</file>